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Pr>
    </w:p>
    <w:p>
      <w:pPr>
        <w:pStyle w:val="2"/>
      </w:pPr>
      <w:r>
        <w:rPr>
          <w:rFonts w:hint="eastAsia"/>
        </w:rPr>
        <w:drawing>
          <wp:inline distT="0" distB="0" distL="0" distR="0">
            <wp:extent cx="5003800" cy="28149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5003800" cy="2814955"/>
                    </a:xfrm>
                    <a:prstGeom prst="rect">
                      <a:avLst/>
                    </a:prstGeom>
                  </pic:spPr>
                </pic:pic>
              </a:graphicData>
            </a:graphic>
          </wp:inline>
        </w:drawing>
      </w:r>
    </w:p>
    <w:p>
      <w:pPr>
        <w:pStyle w:val="2"/>
      </w:pPr>
      <w:r>
        <w:rPr>
          <w:rFonts w:hint="eastAsia"/>
        </w:rPr>
        <w:t>Lumens选择森海塞尔TCC M天花阵列麦克风</w:t>
      </w:r>
      <w:r>
        <w:rPr>
          <w:rFonts w:hint="eastAsia"/>
          <w:lang w:eastAsia="zh-CN"/>
        </w:rPr>
        <w:t>，</w:t>
      </w:r>
      <w:r>
        <w:rPr>
          <w:rFonts w:hint="eastAsia"/>
        </w:rPr>
        <w:t>打造更出众的混合会议体验</w:t>
      </w:r>
    </w:p>
    <w:p/>
    <w:p>
      <w:pPr>
        <w:rPr>
          <w:rStyle w:val="17"/>
          <w:rFonts w:hint="eastAsia"/>
        </w:rPr>
      </w:pPr>
      <w:r>
        <w:rPr>
          <w:rStyle w:val="17"/>
          <w:rFonts w:hint="eastAsia"/>
        </w:rPr>
        <w:t>专为中型会议场地设计的天花阵列麦克风，配合使用Lumens CamConnect Pro和PTZ摄像机，可自动追踪当前发言人</w:t>
      </w:r>
    </w:p>
    <w:p>
      <w:pPr>
        <w:spacing w:line="240" w:lineRule="auto"/>
        <w:rPr>
          <w:b/>
          <w:i/>
        </w:rPr>
      </w:pPr>
    </w:p>
    <w:p>
      <w:pPr>
        <w:rPr>
          <w:b/>
          <w:szCs w:val="18"/>
        </w:rPr>
      </w:pPr>
      <w:r>
        <w:rPr>
          <w:rFonts w:hint="eastAsia"/>
          <w:b/>
          <w:i/>
        </w:rPr>
        <w:t>德国韦德马克，2024年1月10日</w:t>
      </w:r>
      <w:bookmarkStart w:id="0" w:name="_Hlk53570179"/>
      <w:r>
        <w:rPr>
          <w:rFonts w:hint="eastAsia"/>
          <w:b/>
          <w:bCs/>
        </w:rPr>
        <w:t>——</w:t>
      </w:r>
      <w:r>
        <w:rPr>
          <w:b/>
          <w:bCs/>
        </w:rPr>
        <w:t>森海塞尔作为先进音频技术的</w:t>
      </w:r>
      <w:r>
        <w:rPr>
          <w:rFonts w:hint="eastAsia"/>
          <w:b/>
          <w:bCs/>
        </w:rPr>
        <w:t>首选</w:t>
      </w:r>
      <w:r>
        <w:rPr>
          <w:b/>
          <w:bCs/>
        </w:rPr>
        <w:t>，致力于使协作和学习变得更轻松。</w:t>
      </w:r>
      <w:r>
        <w:rPr>
          <w:rFonts w:hint="eastAsia"/>
          <w:b/>
          <w:bCs/>
        </w:rPr>
        <w:t>森海塞尔很高兴地</w:t>
      </w:r>
      <w:r>
        <w:rPr>
          <w:rFonts w:hint="eastAsia"/>
          <w:b/>
        </w:rPr>
        <w:t>宣布，森海塞尔TCC M天花阵列麦克风已与Lumens CamConnect Pro解决方案的语音追踪摄像机系统集成。该解决方案采用TCC M自动动态波束成形技术，使Lumens PTZ摄像机能够主动追踪当前发言人，从而打造动态混合会议体验。</w:t>
      </w:r>
      <w:r>
        <w:rPr>
          <w:rFonts w:hint="eastAsia"/>
          <w:b/>
          <w:color w:val="000000" w:themeColor="text1"/>
          <w14:textFill>
            <w14:solidFill>
              <w14:schemeClr w14:val="tx1"/>
            </w14:solidFill>
          </w14:textFill>
        </w:rPr>
        <w:t xml:space="preserve"> </w:t>
      </w:r>
    </w:p>
    <w:p>
      <w:pPr>
        <w:rPr>
          <w:szCs w:val="18"/>
          <w:lang w:val="en-US"/>
        </w:rPr>
      </w:pPr>
    </w:p>
    <w:p>
      <w:pPr>
        <w:rPr>
          <w:szCs w:val="18"/>
        </w:rPr>
      </w:pPr>
      <w:r>
        <w:rPr>
          <w:rFonts w:hint="eastAsia"/>
        </w:rPr>
        <w:t xml:space="preserve">除TCC 2之外，现在Lumens CamConnect用户还可选择森海塞尔TCC M天花阵列麦克风。Lumens的CamConnect语音追踪处理器AI-Box1与森海塞尔天花阵列麦克风配合使用，可接收实时声音方位数据。这使Lumens PTZ摄像机能立即为会议摄像机添加语音追踪功能，并在不同发言人之间自动切换摄像机焦点。 </w:t>
      </w:r>
      <w:r>
        <w:rPr>
          <w:rFonts w:hint="eastAsia" w:ascii="Arial" w:hAnsi="Arial" w:eastAsia="宋体"/>
        </w:rPr>
        <w:t>​</w:t>
      </w:r>
    </w:p>
    <w:p>
      <w:pPr>
        <w:rPr>
          <w:szCs w:val="18"/>
          <w:lang w:val="en-US"/>
        </w:rPr>
      </w:pPr>
    </w:p>
    <w:p>
      <w:pPr>
        <w:rPr>
          <w:szCs w:val="18"/>
        </w:rPr>
      </w:pPr>
      <w:r>
        <w:rPr>
          <w:rFonts w:hint="eastAsia"/>
        </w:rPr>
        <w:t xml:space="preserve">森海塞尔与Lumens合作打造的解决方案非常适合会议场所、教室和演讲厅，具备语音追踪能力的摄像机可将静态演示转化为如电视般真实的观看体验。整个流程均为自动化进行，显著降低了运营成本。 </w:t>
      </w:r>
    </w:p>
    <w:p>
      <w:pPr>
        <w:rPr>
          <w:rFonts w:cs="Arial"/>
          <w:szCs w:val="18"/>
          <w:lang w:val="en-US"/>
        </w:rPr>
      </w:pPr>
    </w:p>
    <w:p>
      <w:pPr>
        <w:rPr>
          <w:szCs w:val="18"/>
        </w:rPr>
      </w:pPr>
      <w:r>
        <w:rPr>
          <w:rFonts w:hint="eastAsia"/>
        </w:rPr>
        <w:t>“我们很高兴能与森海塞尔进一步发展双方的合作关系，”捷扬光电股份有限公司（Lumens）产品开发主管Steven Liang表示，“森海塞尔TCC M天花阵列麦克风与CamConnect Pro完美集成，为我们的共同客户提供了令人惊叹的混合会议体验。”</w:t>
      </w:r>
    </w:p>
    <w:p>
      <w:pPr>
        <w:rPr>
          <w:szCs w:val="18"/>
          <w:lang w:val="en-US"/>
        </w:rPr>
      </w:pPr>
    </w:p>
    <w:p>
      <w:pPr>
        <w:rPr>
          <w:szCs w:val="18"/>
        </w:rPr>
      </w:pPr>
      <w:r>
        <w:rPr>
          <w:rFonts w:hint="eastAsia"/>
        </w:rPr>
        <w:t>这两项技术的集成可立竿见影地提高远程与会者的参与度，并将多站点互动提升至全新水平。CamConnect Pro解决方案支持多房间、多麦克风和多摄像机安装，并可与各类领先的UC平台集成。</w:t>
      </w:r>
    </w:p>
    <w:p>
      <w:pPr>
        <w:rPr>
          <w:bCs/>
          <w:szCs w:val="18"/>
        </w:rPr>
      </w:pPr>
    </w:p>
    <w:p>
      <w:pPr>
        <w:rPr>
          <w:bCs/>
          <w:szCs w:val="18"/>
        </w:rPr>
      </w:pPr>
      <w:r>
        <w:rPr>
          <w:rFonts w:hint="eastAsia"/>
        </w:rPr>
        <w:t>“通过与Lumens的合作，打造一款AV解决方案，从而能够提升中型会议室和教育空间的协作水平，为此贡献我们的力量，这令我们倍感激动，”森海塞尔商务通讯全球联盟及合作经理Charlie Jones表示，“我们的TCC M不仅能为Lumens PTZ摄像机提供自动动态波束成形的位置数据，还能提供十分清晰的音频，确保室内现场和远程的每一位参与者都能被听到和被理解。”</w:t>
      </w:r>
    </w:p>
    <w:p>
      <w:pPr>
        <w:rPr>
          <w:bCs/>
          <w:szCs w:val="18"/>
        </w:rPr>
      </w:pPr>
    </w:p>
    <w:p>
      <w:r>
        <w:rPr>
          <w:rFonts w:hint="eastAsia"/>
        </w:rPr>
        <w:t>TCC M的覆盖面积高达40平方米，可为中型会议和教育场所提供森海塞尔天花阵列麦克风解决方案的所有优势，例如值得信赖的森海塞尔音频质量、高效设置、灵活集成以及操作简单的管理和控制。其圆形设计和隐蔽安装方式可实现无线缆困扰的桌面布置及灵活的家具摆位。</w:t>
      </w:r>
    </w:p>
    <w:p>
      <w:pPr>
        <w:rPr>
          <w:bCs/>
          <w:szCs w:val="18"/>
        </w:rPr>
      </w:pPr>
      <w:r>
        <w:rPr>
          <w:rFonts w:hint="eastAsia"/>
        </w:rPr>
        <w:t xml:space="preserve">  </w:t>
      </w:r>
    </w:p>
    <w:p>
      <w:r>
        <w:rPr>
          <w:rFonts w:hint="eastAsia"/>
        </w:rPr>
        <w:t>更多有关Lumens CamConnect Pro的信息，请访问</w:t>
      </w:r>
      <w:r>
        <w:fldChar w:fldCharType="begin"/>
      </w:r>
      <w:r>
        <w:instrText xml:space="preserve"> HYPERLINK "http://www.mylumens.com/" </w:instrText>
      </w:r>
      <w:r>
        <w:fldChar w:fldCharType="separate"/>
      </w:r>
      <w:r>
        <w:rPr>
          <w:rStyle w:val="20"/>
          <w:rFonts w:hint="eastAsia"/>
          <w:color w:val="auto"/>
        </w:rPr>
        <w:t>www.mylumens.com</w:t>
      </w:r>
      <w:r>
        <w:rPr>
          <w:rStyle w:val="20"/>
          <w:rFonts w:hint="eastAsia"/>
          <w:color w:val="auto"/>
        </w:rPr>
        <w:fldChar w:fldCharType="end"/>
      </w:r>
    </w:p>
    <w:p>
      <w:pPr>
        <w:rPr>
          <w:rStyle w:val="20"/>
        </w:rPr>
      </w:pPr>
      <w:r>
        <w:rPr>
          <w:rFonts w:hint="eastAsia"/>
        </w:rPr>
        <w:t>进一步了解森海塞尔TCC M和森海塞尔天花阵列麦克风解决方案全系列产品，请访问：</w:t>
      </w:r>
      <w:r>
        <w:rPr>
          <w:rStyle w:val="20"/>
        </w:rPr>
        <w:t xml:space="preserve"> </w:t>
      </w:r>
    </w:p>
    <w:p>
      <w:r>
        <w:fldChar w:fldCharType="begin"/>
      </w:r>
      <w:r>
        <w:instrText xml:space="preserve"> HYPERLINK "https://www.sennheiser.com/zh-cn/product-families/tcc" </w:instrText>
      </w:r>
      <w:r>
        <w:fldChar w:fldCharType="separate"/>
      </w:r>
      <w:r>
        <w:rPr>
          <w:rStyle w:val="20"/>
        </w:rPr>
        <w:t>https://www.sennheiser.com/zh-cn/product-families/tcc</w:t>
      </w:r>
      <w:r>
        <w:rPr>
          <w:rStyle w:val="20"/>
        </w:rPr>
        <w:fldChar w:fldCharType="end"/>
      </w:r>
    </w:p>
    <w:p>
      <w:r>
        <w:rPr>
          <w:rFonts w:hint="eastAsia"/>
        </w:rPr>
        <w:t>更多有关森海塞尔与Lumens合作的信息，请访问：</w:t>
      </w:r>
      <w:r>
        <w:fldChar w:fldCharType="begin"/>
      </w:r>
      <w:r>
        <w:instrText xml:space="preserve"> HYPERLINK "https://www.mylumens.com/en/Page/83/Lumens-CamConnect-Pro-AI-Voice-Tracking-Camera-Solution-Sennheiser" </w:instrText>
      </w:r>
      <w:r>
        <w:fldChar w:fldCharType="separate"/>
      </w:r>
      <w:r>
        <w:rPr>
          <w:rStyle w:val="20"/>
          <w:rFonts w:hint="eastAsia"/>
        </w:rPr>
        <w:t>https://www.mylumens.com/en/Page/83/Lumens-CamConnect-Pro-AI-Voice-Tracking-Camera-Solution-Sennheiser</w:t>
      </w:r>
      <w:r>
        <w:rPr>
          <w:rStyle w:val="20"/>
          <w:rFonts w:hint="eastAsia"/>
        </w:rPr>
        <w:fldChar w:fldCharType="end"/>
      </w:r>
    </w:p>
    <w:bookmarkEnd w:id="0"/>
    <w:p>
      <w:pPr>
        <w:spacing w:line="240" w:lineRule="auto"/>
        <w:rPr>
          <w:b/>
          <w:bCs/>
        </w:rPr>
      </w:pPr>
    </w:p>
    <w:p>
      <w:pPr>
        <w:spacing w:line="240" w:lineRule="auto"/>
        <w:rPr>
          <w:b/>
          <w:bCs/>
        </w:rPr>
      </w:pPr>
    </w:p>
    <w:p>
      <w:pPr>
        <w:spacing w:line="240" w:lineRule="auto"/>
        <w:rPr>
          <w:b/>
          <w:bCs/>
        </w:rPr>
      </w:pPr>
      <w:r>
        <w:rPr>
          <w:b/>
          <w:bCs/>
        </w:rPr>
        <w:br w:type="page"/>
      </w:r>
    </w:p>
    <w:p>
      <w:pPr>
        <w:spacing w:line="240" w:lineRule="auto"/>
        <w:textAlignment w:val="baseline"/>
        <w:rPr>
          <w:b/>
          <w:bCs/>
        </w:rPr>
      </w:pPr>
      <w:bookmarkStart w:id="1" w:name="_GoBack"/>
      <w:r>
        <w:rPr>
          <w:b/>
          <w:bCs/>
        </w:rPr>
        <w:t>关于森海塞尔品牌</w:t>
      </w:r>
    </w:p>
    <w:p>
      <w:pPr>
        <w:spacing w:line="240" w:lineRule="auto"/>
        <w:textAlignment w:val="baseline"/>
      </w:pPr>
      <w:r>
        <w:t>音频是我们的生命之源。我们致力于创造与众不同的音频解决方案。打造音频之未来并为我们的客户提供非凡的声音体验——这就是森海塞尔品牌</w:t>
      </w:r>
      <w:r>
        <w:rPr>
          <w:rFonts w:hint="eastAsia"/>
        </w:rPr>
        <w:t>近8</w:t>
      </w:r>
      <w:r>
        <w:t>0年来所传承的精神。专业话筒及监听系统、会议系统、流媒体技术和无线传输系统等专业音频解决方案，这些业务隶属于森海塞尔</w:t>
      </w:r>
      <w:r>
        <w:rPr>
          <w:rFonts w:hint="eastAsia"/>
        </w:rPr>
        <w:t>（</w:t>
      </w:r>
      <w:r>
        <w:t>Sennheiser electronic GmbH &amp; Co. KG</w:t>
      </w:r>
      <w:r>
        <w:rPr>
          <w:rFonts w:hint="eastAsia"/>
        </w:rPr>
        <w:t>）；</w:t>
      </w:r>
      <w:r>
        <w:t>而消费电子产品业务包括耳机、条形音箱和语音增强耳机等在森海塞尔的授权下由索诺瓦控股集团</w:t>
      </w:r>
      <w:r>
        <w:rPr>
          <w:rFonts w:hint="eastAsia"/>
        </w:rPr>
        <w:t>（</w:t>
      </w:r>
      <w:r>
        <w:t>Sonova Holding AG</w:t>
      </w:r>
      <w:r>
        <w:rPr>
          <w:rFonts w:hint="eastAsia"/>
        </w:rPr>
        <w:t>）</w:t>
      </w:r>
      <w:r>
        <w:t>运营。</w:t>
      </w:r>
    </w:p>
    <w:p>
      <w:pPr>
        <w:spacing w:line="240" w:lineRule="auto"/>
        <w:rPr>
          <w:rFonts w:ascii="微软雅黑" w:hAnsi="微软雅黑" w:eastAsia="微软雅黑"/>
          <w:color w:val="0095D5" w:themeColor="accent1"/>
          <w:lang w:val="sv-SE"/>
          <w14:textFill>
            <w14:solidFill>
              <w14:schemeClr w14:val="accent1"/>
            </w14:solidFill>
          </w14:textFill>
        </w:rPr>
      </w:pPr>
    </w:p>
    <w:p>
      <w:pPr>
        <w:spacing w:line="240" w:lineRule="auto"/>
        <w:rPr>
          <w:rFonts w:eastAsia="微软雅黑 Light"/>
          <w:color w:val="0095D5" w:themeColor="accent1"/>
          <w:szCs w:val="18"/>
          <w:lang w:val="sv-SE"/>
          <w14:textFill>
            <w14:solidFill>
              <w14:schemeClr w14:val="accent1"/>
            </w14:solidFill>
          </w14:textFill>
        </w:rPr>
      </w:pPr>
      <w:r>
        <w:fldChar w:fldCharType="begin"/>
      </w:r>
      <w:r>
        <w:instrText xml:space="preserve"> HYPERLINK "http://www.sennheiser.com" </w:instrText>
      </w:r>
      <w:r>
        <w:fldChar w:fldCharType="separate"/>
      </w:r>
      <w:r>
        <w:rPr>
          <w:rStyle w:val="20"/>
          <w:rFonts w:eastAsia="微软雅黑 Light"/>
          <w:color w:val="0095D5" w:themeColor="accent1"/>
          <w:szCs w:val="18"/>
          <w:u w:val="none"/>
          <w:lang w:val="sv-SE"/>
          <w14:textFill>
            <w14:solidFill>
              <w14:schemeClr w14:val="accent1"/>
            </w14:solidFill>
          </w14:textFill>
        </w:rPr>
        <w:t>www.sennheiser.com</w:t>
      </w:r>
      <w:r>
        <w:rPr>
          <w:rStyle w:val="20"/>
          <w:rFonts w:eastAsia="微软雅黑 Light"/>
          <w:color w:val="0095D5" w:themeColor="accent1"/>
          <w:szCs w:val="18"/>
          <w:u w:val="none"/>
          <w:lang w:val="sv-SE"/>
          <w14:textFill>
            <w14:solidFill>
              <w14:schemeClr w14:val="accent1"/>
            </w14:solidFill>
          </w14:textFill>
        </w:rPr>
        <w:fldChar w:fldCharType="end"/>
      </w:r>
      <w:r>
        <w:rPr>
          <w:rFonts w:eastAsia="微软雅黑 Light"/>
          <w:color w:val="0095D5" w:themeColor="accent1"/>
          <w:szCs w:val="18"/>
          <w:lang w:val="sv-SE"/>
          <w14:textFill>
            <w14:solidFill>
              <w14:schemeClr w14:val="accent1"/>
            </w14:solidFill>
          </w14:textFill>
        </w:rPr>
        <w:t xml:space="preserve"> </w:t>
      </w:r>
    </w:p>
    <w:p>
      <w:pPr>
        <w:spacing w:line="240" w:lineRule="auto"/>
        <w:rPr>
          <w:rStyle w:val="20"/>
          <w:rFonts w:eastAsia="微软雅黑 Light"/>
          <w:color w:val="0095D5" w:themeColor="accent1"/>
          <w:szCs w:val="18"/>
          <w:u w:val="none"/>
          <w:lang w:val="sv-SE"/>
          <w14:textFill>
            <w14:solidFill>
              <w14:schemeClr w14:val="accent1"/>
            </w14:solidFill>
          </w14:textFill>
        </w:rPr>
      </w:pPr>
      <w:r>
        <w:fldChar w:fldCharType="begin"/>
      </w:r>
      <w:r>
        <w:instrText xml:space="preserve"> HYPERLINK "http://www.sennheiser-hearing.com" </w:instrText>
      </w:r>
      <w:r>
        <w:fldChar w:fldCharType="separate"/>
      </w:r>
      <w:r>
        <w:rPr>
          <w:rStyle w:val="20"/>
          <w:rFonts w:eastAsia="微软雅黑 Light"/>
          <w:color w:val="0095D5" w:themeColor="accent1"/>
          <w:szCs w:val="18"/>
          <w:u w:val="none"/>
          <w:lang w:val="sv-SE"/>
          <w14:textFill>
            <w14:solidFill>
              <w14:schemeClr w14:val="accent1"/>
            </w14:solidFill>
          </w14:textFill>
        </w:rPr>
        <w:t>www.sennheiser-hearing.com</w:t>
      </w:r>
      <w:r>
        <w:rPr>
          <w:rStyle w:val="20"/>
          <w:rFonts w:eastAsia="微软雅黑 Light"/>
          <w:color w:val="0095D5" w:themeColor="accent1"/>
          <w:szCs w:val="18"/>
          <w:u w:val="none"/>
          <w:lang w:val="sv-SE"/>
          <w14:textFill>
            <w14:solidFill>
              <w14:schemeClr w14:val="accent1"/>
            </w14:solidFill>
          </w14:textFill>
        </w:rPr>
        <w:fldChar w:fldCharType="end"/>
      </w:r>
    </w:p>
    <w:bookmarkEnd w:id="1"/>
    <w:p>
      <w:pPr>
        <w:spacing w:line="240" w:lineRule="auto"/>
        <w:textAlignment w:val="baseline"/>
        <w:rPr>
          <w:lang w:val="sv-SE"/>
        </w:rPr>
      </w:pPr>
    </w:p>
    <w:p>
      <w:pPr>
        <w:spacing w:line="240" w:lineRule="auto"/>
        <w:textAlignment w:val="baseline"/>
        <w:rPr>
          <w:lang w:val="sv-SE"/>
        </w:rPr>
      </w:pPr>
    </w:p>
    <w:p>
      <w:pPr>
        <w:spacing w:line="240" w:lineRule="auto"/>
        <w:textAlignment w:val="baseline"/>
        <w:rPr>
          <w:b/>
          <w:bCs/>
        </w:rPr>
      </w:pPr>
      <w:r>
        <w:rPr>
          <w:rFonts w:hint="eastAsia"/>
          <w:b/>
          <w:bCs/>
        </w:rPr>
        <w:t>大中华区新闻联络人</w:t>
      </w:r>
    </w:p>
    <w:p>
      <w:pPr>
        <w:spacing w:line="240" w:lineRule="auto"/>
        <w:textAlignment w:val="baseline"/>
        <w:rPr>
          <w:lang w:val="en-US"/>
        </w:rPr>
      </w:pPr>
      <w:r>
        <w:rPr>
          <w:rFonts w:hint="eastAsia"/>
        </w:rPr>
        <w:t>顾彦多</w:t>
      </w:r>
      <w:r>
        <w:rPr>
          <w:rFonts w:hint="eastAsia"/>
          <w:lang w:val="en-US"/>
        </w:rPr>
        <w:t xml:space="preserve"> Ivy</w:t>
      </w:r>
    </w:p>
    <w:p>
      <w:pPr>
        <w:spacing w:line="240" w:lineRule="auto"/>
        <w:textAlignment w:val="baseline"/>
      </w:pPr>
      <w:r>
        <w:rPr>
          <w:rFonts w:hint="eastAsia"/>
        </w:rPr>
        <w:t>ivy.gu@sennheiser.com</w:t>
      </w:r>
    </w:p>
    <w:p>
      <w:pPr>
        <w:spacing w:line="240" w:lineRule="auto"/>
        <w:textAlignment w:val="baseline"/>
      </w:pPr>
      <w:r>
        <w:rPr>
          <w:rFonts w:hint="eastAsia"/>
        </w:rPr>
        <w:t>+86-13810674317</w:t>
      </w:r>
    </w:p>
    <w:p>
      <w:pPr>
        <w:spacing w:line="240" w:lineRule="auto"/>
        <w:textAlignment w:val="baseline"/>
      </w:pPr>
    </w:p>
    <w:p>
      <w:pPr>
        <w:spacing w:line="240" w:lineRule="auto"/>
        <w:textAlignment w:val="baseline"/>
      </w:pPr>
    </w:p>
    <w:sectPr>
      <w:headerReference r:id="rId6" w:type="first"/>
      <w:footerReference r:id="rId7" w:type="first"/>
      <w:headerReference r:id="rId5" w:type="default"/>
      <w:pgSz w:w="11906" w:h="16838"/>
      <w:pgMar w:top="2754" w:right="2608" w:bottom="1418" w:left="1418" w:header="629" w:footer="1349"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B5969754-131B-5CED-AA1C-B365E515D329}"/>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embedRegular r:id="rId2" w:fontKey="{8D2814A1-0402-6654-AA1C-B365B12CE249}"/>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Sennheiser Office">
    <w:panose1 w:val="02010504010101010104"/>
    <w:charset w:val="00"/>
    <w:family w:val="swiss"/>
    <w:pitch w:val="default"/>
    <w:sig w:usb0="A00000AF" w:usb1="500020DB" w:usb2="00000000" w:usb3="00000000" w:csb0="20000093" w:csb1="00000000"/>
  </w:font>
  <w:font w:name="Segoe UI">
    <w:panose1 w:val="020B0502040204020203"/>
    <w:charset w:val="00"/>
    <w:family w:val="swiss"/>
    <w:pitch w:val="default"/>
    <w:sig w:usb0="E4002EFF" w:usb1="C000E47F" w:usb2="00000009" w:usb3="00000000" w:csb0="200001FF" w:csb1="00000000"/>
  </w:font>
  <w:font w:name="微软雅黑">
    <w:altName w:val="汉仪旗黑"/>
    <w:panose1 w:val="020B0503020204020204"/>
    <w:charset w:val="86"/>
    <w:family w:val="swiss"/>
    <w:pitch w:val="default"/>
    <w:sig w:usb0="00000000" w:usb1="00000000" w:usb2="00000016" w:usb3="00000000" w:csb0="0004001F" w:csb1="00000000"/>
  </w:font>
  <w:font w:name="微软雅黑 Light">
    <w:altName w:val="汉仪中黑KW"/>
    <w:panose1 w:val="020B0502040204020203"/>
    <w:charset w:val="86"/>
    <w:family w:val="swiss"/>
    <w:pitch w:val="default"/>
    <w:sig w:usb0="00000000" w:usb1="00000000"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儷宋 Pro">
    <w:panose1 w:val="02020300000000000000"/>
    <w:charset w:val="88"/>
    <w:family w:val="auto"/>
    <w:pitch w:val="default"/>
    <w:sig w:usb0="80000001" w:usb1="28091800" w:usb2="00000016" w:usb3="00000000" w:csb0="00100000" w:csb1="00000000"/>
  </w:font>
  <w:font w:name="宋体-简">
    <w:panose1 w:val="02010800040101010101"/>
    <w:charset w:val="86"/>
    <w:family w:val="auto"/>
    <w:pitch w:val="default"/>
    <w:sig w:usb0="00000001" w:usb1="080F0000" w:usb2="00000000" w:usb3="00000000" w:csb0="00040000" w:csb1="00000000"/>
  </w:font>
  <w:font w:name="汉仪旗黑">
    <w:panose1 w:val="00020600040101010101"/>
    <w:charset w:val="86"/>
    <w:family w:val="auto"/>
    <w:pitch w:val="default"/>
    <w:sig w:usb0="A00002BF" w:usb1="1ACF7CFA" w:usb2="00000016" w:usb3="00000000" w:csb0="0004009F" w:csb1="DFD7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 w:name="黑体">
    <w:altName w:val="汉仪中黑K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left" w:pos="3068"/>
      </w:tabs>
    </w:pPr>
    <w:r>
      <w:rPr>
        <w:rFonts w:hint="eastAsia"/>
      </w:rPr>
      <w:drawing>
        <wp:anchor distT="0" distB="0" distL="114300" distR="114300" simplePos="0" relativeHeight="251660288" behindDoc="0" locked="1" layoutInCell="1" allowOverlap="1">
          <wp:simplePos x="0" y="0"/>
          <wp:positionH relativeFrom="page">
            <wp:posOffset>900430</wp:posOffset>
          </wp:positionH>
          <wp:positionV relativeFrom="page">
            <wp:posOffset>10153015</wp:posOffset>
          </wp:positionV>
          <wp:extent cx="1026160" cy="10795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color w:val="0095D5" w:themeColor="accent1"/>
        <w14:textFill>
          <w14:solidFill>
            <w14:schemeClr w14:val="accent1"/>
          </w14:solidFill>
        </w14:textFill>
      </w:rPr>
    </w:pPr>
    <w:r>
      <w:rPr>
        <w:rFonts w:hint="eastAsia"/>
        <w:color w:val="0095D5" w:themeColor="accent1"/>
        <w14:textFill>
          <w14:solidFill>
            <w14:schemeClr w14:val="accent1"/>
          </w14:solidFill>
        </w14:textFill>
      </w:rPr>
      <w:t>新闻稿</w:t>
    </w:r>
    <w:r>
      <w:rPr>
        <w:rFonts w:hint="eastAsia"/>
      </w:rPr>
      <w:drawing>
        <wp:anchor distT="0" distB="0" distL="114300" distR="114300" simplePos="0" relativeHeight="251659264" behindDoc="0" locked="1" layoutInCell="1" allowOverlap="1">
          <wp:simplePos x="0" y="0"/>
          <wp:positionH relativeFrom="page">
            <wp:posOffset>900430</wp:posOffset>
          </wp:positionH>
          <wp:positionV relativeFrom="page">
            <wp:posOffset>422275</wp:posOffset>
          </wp:positionV>
          <wp:extent cx="575945" cy="431165"/>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pPr>
      <w:pStyle w:val="10"/>
    </w:pPr>
    <w:r>
      <w:fldChar w:fldCharType="begin"/>
    </w:r>
    <w:r>
      <w:instrText xml:space="preserve"> PAGE  \* Arabic  \* MERGEFORMAT </w:instrText>
    </w:r>
    <w:r>
      <w:fldChar w:fldCharType="separate"/>
    </w:r>
    <w:r>
      <w:t>2</w:t>
    </w:r>
    <w:r>
      <w:fldChar w:fldCharType="end"/>
    </w:r>
    <w:r>
      <w:rPr>
        <w:rFonts w:hint="eastAsia"/>
      </w:rPr>
      <w:t>/</w:t>
    </w:r>
    <w:r>
      <w:fldChar w:fldCharType="begin"/>
    </w:r>
    <w:r>
      <w:instrText xml:space="preserve">NUMPAGES  \* Arabic  \* MERGEFORMAT</w:instrText>
    </w:r>
    <w:r>
      <w:fldChar w:fldCharType="separate"/>
    </w:r>
    <w:r>
      <w:t>5</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color w:val="0095D5" w:themeColor="accent1"/>
        <w14:textFill>
          <w14:solidFill>
            <w14:schemeClr w14:val="accent1"/>
          </w14:solidFill>
        </w14:textFill>
      </w:rPr>
    </w:pPr>
    <w:r>
      <w:rPr>
        <w:rFonts w:hint="eastAsia"/>
        <w:color w:val="0095D5" w:themeColor="accent1"/>
        <w14:textFill>
          <w14:solidFill>
            <w14:schemeClr w14:val="accent1"/>
          </w14:solidFill>
        </w14:textFill>
      </w:rPr>
      <w:t>新闻稿</w:t>
    </w:r>
    <w:r>
      <w:rPr>
        <w:rFonts w:hint="eastAsia"/>
      </w:rPr>
      <w:drawing>
        <wp:anchor distT="0" distB="0" distL="114300" distR="114300" simplePos="0" relativeHeight="251660288" behindDoc="0" locked="1" layoutInCell="1" allowOverlap="1">
          <wp:simplePos x="0" y="0"/>
          <wp:positionH relativeFrom="page">
            <wp:posOffset>900430</wp:posOffset>
          </wp:positionH>
          <wp:positionV relativeFrom="page">
            <wp:posOffset>422275</wp:posOffset>
          </wp:positionV>
          <wp:extent cx="575945" cy="431165"/>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pPr>
      <w:pStyle w:val="10"/>
    </w:pPr>
    <w:r>
      <w:fldChar w:fldCharType="begin"/>
    </w:r>
    <w:r>
      <w:instrText xml:space="preserve"> PAGE  \* Arabic  \* MERGEFORMAT </w:instrText>
    </w:r>
    <w:r>
      <w:fldChar w:fldCharType="separate"/>
    </w:r>
    <w:r>
      <w:t>1</w:t>
    </w:r>
    <w:r>
      <w:fldChar w:fldCharType="end"/>
    </w:r>
    <w:r>
      <w:rPr>
        <w:rFonts w:hint="eastAsia"/>
      </w:rPr>
      <w:t>/</w:t>
    </w:r>
    <w:r>
      <w:fldChar w:fldCharType="begin"/>
    </w:r>
    <w:r>
      <w:instrText xml:space="preserve">NUMPAGES  \* Arabic  \* MERGEFORMAT</w:instrText>
    </w:r>
    <w:r>
      <w:fldChar w:fldCharType="separate"/>
    </w:r>
    <w:r>
      <w:t>5</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3"/>
  <w:embedTrueTypeFonts/>
  <w:bordersDoNotSurroundHeader w:val="1"/>
  <w:bordersDoNotSurroundFooter w:val="1"/>
  <w:trackRevisions w:val="1"/>
  <w:documentProtection w:enforcement="0"/>
  <w:defaultTabStop w:val="708"/>
  <w:hyphenationZone w:val="425"/>
  <w:noPunctuationKerning w:val="1"/>
  <w:characterSpacingControl w:val="doNotCompress"/>
  <w:footnotePr>
    <w:footnote w:id="0"/>
    <w:footnote w:id="1"/>
  </w:footnotePr>
  <w:endnotePr>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ZhOGE2ZjQzZTQ3YTAzZDg3ZDA1MWVjM2E3NTM5MmUifQ=="/>
  </w:docVars>
  <w:rsids>
    <w:rsidRoot w:val="00AC720E"/>
    <w:rsid w:val="00003FF3"/>
    <w:rsid w:val="00081AFA"/>
    <w:rsid w:val="00087EE5"/>
    <w:rsid w:val="000B6F22"/>
    <w:rsid w:val="000D21EB"/>
    <w:rsid w:val="00106900"/>
    <w:rsid w:val="001158B9"/>
    <w:rsid w:val="00122247"/>
    <w:rsid w:val="00176CF2"/>
    <w:rsid w:val="001F7CBB"/>
    <w:rsid w:val="00246CD8"/>
    <w:rsid w:val="0027138F"/>
    <w:rsid w:val="00273965"/>
    <w:rsid w:val="002B207A"/>
    <w:rsid w:val="003279BE"/>
    <w:rsid w:val="0039530B"/>
    <w:rsid w:val="0043793F"/>
    <w:rsid w:val="00467360"/>
    <w:rsid w:val="0050533F"/>
    <w:rsid w:val="006860E1"/>
    <w:rsid w:val="00732697"/>
    <w:rsid w:val="00743046"/>
    <w:rsid w:val="00760CC2"/>
    <w:rsid w:val="00774EE7"/>
    <w:rsid w:val="007C646F"/>
    <w:rsid w:val="0083056C"/>
    <w:rsid w:val="0088096D"/>
    <w:rsid w:val="008D6384"/>
    <w:rsid w:val="00A41220"/>
    <w:rsid w:val="00AC2FE6"/>
    <w:rsid w:val="00AC720E"/>
    <w:rsid w:val="00AD20AF"/>
    <w:rsid w:val="00AF1718"/>
    <w:rsid w:val="00B4603E"/>
    <w:rsid w:val="00C475BB"/>
    <w:rsid w:val="00CE215D"/>
    <w:rsid w:val="00D0094C"/>
    <w:rsid w:val="00D153EB"/>
    <w:rsid w:val="00D205B3"/>
    <w:rsid w:val="00D60119"/>
    <w:rsid w:val="00D957A5"/>
    <w:rsid w:val="00DB13F5"/>
    <w:rsid w:val="00DC1434"/>
    <w:rsid w:val="00DC6FF6"/>
    <w:rsid w:val="00EC61D5"/>
    <w:rsid w:val="00F00FE4"/>
    <w:rsid w:val="00FE08A4"/>
    <w:rsid w:val="53E846D6"/>
    <w:rsid w:val="64AC34DE"/>
    <w:rsid w:val="6CFD3D29"/>
    <w:rsid w:val="7BEF18C0"/>
  </w:rsids>
  <m:mathPr>
    <m:mathFont m:val="Cambria Math"/>
    <m:brkBin m:val="before"/>
    <m:brkBinSub m:val="--"/>
    <m:smallFrac m:val="0"/>
    <m:dispDef/>
    <m:lMargin m:val="0"/>
    <m:rMargin m:val="0"/>
    <m:defJc m:val="centerGroup"/>
    <m:wrapIndent m:val="1440"/>
    <m:intLim m:val="subSup"/>
    <m:naryLim m:val="undOvr"/>
  </m:mathPr>
  <w:doNotAutoCompressPictures/>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uiPriority="9"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Theme="minorHAnsi" w:hAnsiTheme="minorHAnsi" w:eastAsiaTheme="minorEastAsia" w:cstheme="minorBidi"/>
      <w:sz w:val="18"/>
      <w:szCs w:val="22"/>
      <w:lang w:val="en-GB" w:eastAsia="zh-CN" w:bidi="ar-SA"/>
    </w:rPr>
  </w:style>
  <w:style w:type="paragraph" w:styleId="2">
    <w:name w:val="heading 1"/>
    <w:basedOn w:val="1"/>
    <w:next w:val="1"/>
    <w:link w:val="26"/>
    <w:qFormat/>
    <w:uiPriority w:val="9"/>
    <w:pPr>
      <w:outlineLvl w:val="0"/>
    </w:pPr>
    <w:rPr>
      <w:b/>
      <w:color w:val="0095D5" w:themeColor="accent1"/>
      <w14:textFill>
        <w14:solidFill>
          <w14:schemeClr w14:val="accent1"/>
        </w14:solidFill>
      </w14:textFill>
    </w:rPr>
  </w:style>
  <w:style w:type="paragraph" w:styleId="3">
    <w:name w:val="heading 2"/>
    <w:basedOn w:val="1"/>
    <w:next w:val="1"/>
    <w:link w:val="28"/>
    <w:unhideWhenUsed/>
    <w:qFormat/>
    <w:uiPriority w:val="9"/>
    <w:pPr>
      <w:outlineLvl w:val="1"/>
    </w:pPr>
    <w:rPr>
      <w:b/>
    </w:rPr>
  </w:style>
  <w:style w:type="paragraph" w:styleId="4">
    <w:name w:val="heading 4"/>
    <w:basedOn w:val="1"/>
    <w:next w:val="1"/>
    <w:link w:val="45"/>
    <w:unhideWhenUsed/>
    <w:qFormat/>
    <w:uiPriority w:val="9"/>
    <w:pPr>
      <w:keepNext/>
      <w:keepLines/>
      <w:spacing w:before="40"/>
      <w:outlineLvl w:val="3"/>
    </w:pPr>
    <w:rPr>
      <w:rFonts w:asciiTheme="majorHAnsi" w:hAnsiTheme="majorHAnsi" w:eastAsiaTheme="majorEastAsia" w:cstheme="majorBidi"/>
      <w:i/>
      <w:iCs/>
      <w:color w:val="0070A0" w:themeColor="accent1" w:themeShade="BF"/>
    </w:rPr>
  </w:style>
  <w:style w:type="paragraph" w:styleId="5">
    <w:name w:val="heading 5"/>
    <w:basedOn w:val="1"/>
    <w:next w:val="1"/>
    <w:link w:val="37"/>
    <w:unhideWhenUsed/>
    <w:qFormat/>
    <w:uiPriority w:val="9"/>
    <w:pPr>
      <w:keepNext/>
      <w:keepLines/>
      <w:spacing w:before="40"/>
      <w:outlineLvl w:val="4"/>
    </w:pPr>
    <w:rPr>
      <w:rFonts w:asciiTheme="majorHAnsi" w:hAnsiTheme="majorHAnsi" w:eastAsiaTheme="majorEastAsia" w:cstheme="majorBidi"/>
      <w:color w:val="0070A0" w:themeColor="accent1" w:themeShade="BF"/>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unhideWhenUsed/>
    <w:qFormat/>
    <w:uiPriority w:val="35"/>
    <w:pPr>
      <w:spacing w:line="210" w:lineRule="atLeast"/>
    </w:pPr>
    <w:rPr>
      <w:sz w:val="15"/>
    </w:rPr>
  </w:style>
  <w:style w:type="paragraph" w:styleId="7">
    <w:name w:val="annotation text"/>
    <w:basedOn w:val="1"/>
    <w:link w:val="57"/>
    <w:unhideWhenUsed/>
    <w:qFormat/>
    <w:uiPriority w:val="99"/>
    <w:pPr>
      <w:spacing w:line="240" w:lineRule="auto"/>
    </w:pPr>
    <w:rPr>
      <w:sz w:val="20"/>
      <w:szCs w:val="20"/>
    </w:rPr>
  </w:style>
  <w:style w:type="paragraph" w:styleId="8">
    <w:name w:val="Balloon Text"/>
    <w:basedOn w:val="1"/>
    <w:link w:val="32"/>
    <w:unhideWhenUsed/>
    <w:qFormat/>
    <w:uiPriority w:val="99"/>
    <w:pPr>
      <w:spacing w:line="240" w:lineRule="auto"/>
    </w:pPr>
    <w:rPr>
      <w:rFonts w:ascii="Segoe UI" w:hAnsi="Segoe UI" w:eastAsia="宋体" w:cs="Segoe UI"/>
      <w:szCs w:val="18"/>
    </w:rPr>
  </w:style>
  <w:style w:type="paragraph" w:styleId="9">
    <w:name w:val="footer"/>
    <w:basedOn w:val="1"/>
    <w:link w:val="23"/>
    <w:unhideWhenUsed/>
    <w:qFormat/>
    <w:uiPriority w:val="99"/>
    <w:pPr>
      <w:spacing w:line="180" w:lineRule="atLeast"/>
    </w:pPr>
    <w:rPr>
      <w:sz w:val="12"/>
    </w:rPr>
  </w:style>
  <w:style w:type="paragraph" w:styleId="10">
    <w:name w:val="header"/>
    <w:basedOn w:val="1"/>
    <w:link w:val="22"/>
    <w:unhideWhenUsed/>
    <w:qFormat/>
    <w:uiPriority w:val="99"/>
    <w:pPr>
      <w:spacing w:line="195" w:lineRule="atLeast"/>
      <w:ind w:right="-1737"/>
      <w:jc w:val="right"/>
    </w:pPr>
    <w:rPr>
      <w:caps/>
      <w:spacing w:val="12"/>
      <w:sz w:val="15"/>
    </w:rPr>
  </w:style>
  <w:style w:type="paragraph" w:styleId="11">
    <w:name w:val="Normal (Web)"/>
    <w:basedOn w:val="1"/>
    <w:unhideWhenUsed/>
    <w:qFormat/>
    <w:uiPriority w:val="99"/>
    <w:pPr>
      <w:spacing w:before="100" w:beforeAutospacing="1" w:after="100" w:afterAutospacing="1" w:line="240" w:lineRule="auto"/>
    </w:pPr>
    <w:rPr>
      <w:rFonts w:ascii="Times New Roman" w:hAnsi="Times New Roman" w:eastAsia="宋体" w:cs="Times New Roman"/>
      <w:sz w:val="24"/>
      <w:szCs w:val="24"/>
      <w:lang w:val="de-DE"/>
    </w:rPr>
  </w:style>
  <w:style w:type="paragraph" w:styleId="12">
    <w:name w:val="Title"/>
    <w:basedOn w:val="1"/>
    <w:next w:val="1"/>
    <w:link w:val="25"/>
    <w:qFormat/>
    <w:uiPriority w:val="10"/>
    <w:pPr>
      <w:spacing w:before="440" w:after="200"/>
      <w:contextualSpacing/>
    </w:pPr>
    <w:rPr>
      <w:sz w:val="24"/>
    </w:rPr>
  </w:style>
  <w:style w:type="paragraph" w:styleId="13">
    <w:name w:val="annotation subject"/>
    <w:basedOn w:val="7"/>
    <w:next w:val="7"/>
    <w:link w:val="58"/>
    <w:unhideWhenUsed/>
    <w:qFormat/>
    <w:uiPriority w:val="99"/>
    <w:rPr>
      <w:b/>
      <w:bCs/>
    </w:rPr>
  </w:style>
  <w:style w:type="table" w:styleId="15">
    <w:name w:val="Table Grid"/>
    <w:basedOn w:val="14"/>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22"/>
    <w:rPr>
      <w:b/>
      <w:bCs/>
    </w:rPr>
  </w:style>
  <w:style w:type="character" w:styleId="18">
    <w:name w:val="FollowedHyperlink"/>
    <w:basedOn w:val="16"/>
    <w:unhideWhenUsed/>
    <w:qFormat/>
    <w:uiPriority w:val="99"/>
    <w:rPr>
      <w:color w:val="000000" w:themeColor="followedHyperlink"/>
      <w:u w:val="single"/>
      <w14:textFill>
        <w14:solidFill>
          <w14:schemeClr w14:val="folHlink"/>
        </w14:solidFill>
      </w14:textFill>
    </w:rPr>
  </w:style>
  <w:style w:type="character" w:styleId="19">
    <w:name w:val="Emphasis"/>
    <w:basedOn w:val="16"/>
    <w:qFormat/>
    <w:uiPriority w:val="20"/>
    <w:rPr>
      <w:i/>
      <w:iCs/>
    </w:rPr>
  </w:style>
  <w:style w:type="character" w:styleId="20">
    <w:name w:val="Hyperlink"/>
    <w:basedOn w:val="16"/>
    <w:unhideWhenUsed/>
    <w:qFormat/>
    <w:uiPriority w:val="99"/>
    <w:rPr>
      <w:color w:val="000000" w:themeColor="hyperlink"/>
      <w:u w:val="single"/>
      <w14:textFill>
        <w14:solidFill>
          <w14:schemeClr w14:val="hlink"/>
        </w14:solidFill>
      </w14:textFill>
    </w:rPr>
  </w:style>
  <w:style w:type="character" w:styleId="21">
    <w:name w:val="annotation reference"/>
    <w:basedOn w:val="16"/>
    <w:unhideWhenUsed/>
    <w:qFormat/>
    <w:uiPriority w:val="99"/>
    <w:rPr>
      <w:sz w:val="16"/>
      <w:szCs w:val="16"/>
    </w:rPr>
  </w:style>
  <w:style w:type="character" w:customStyle="1" w:styleId="22">
    <w:name w:val="页眉 字符"/>
    <w:basedOn w:val="16"/>
    <w:link w:val="10"/>
    <w:qFormat/>
    <w:uiPriority w:val="99"/>
    <w:rPr>
      <w:caps/>
      <w:spacing w:val="12"/>
      <w:sz w:val="15"/>
      <w:lang w:val="en-GB"/>
    </w:rPr>
  </w:style>
  <w:style w:type="character" w:customStyle="1" w:styleId="23">
    <w:name w:val="页脚 字符"/>
    <w:basedOn w:val="16"/>
    <w:link w:val="9"/>
    <w:qFormat/>
    <w:uiPriority w:val="99"/>
    <w:rPr>
      <w:sz w:val="12"/>
      <w:lang w:val="en-GB"/>
    </w:rPr>
  </w:style>
  <w:style w:type="paragraph" w:customStyle="1" w:styleId="24">
    <w:name w:val="Info"/>
    <w:basedOn w:val="1"/>
    <w:qFormat/>
    <w:uiPriority w:val="0"/>
    <w:pPr>
      <w:spacing w:line="180" w:lineRule="atLeast"/>
    </w:pPr>
    <w:rPr>
      <w:sz w:val="12"/>
    </w:rPr>
  </w:style>
  <w:style w:type="character" w:customStyle="1" w:styleId="25">
    <w:name w:val="标题 字符"/>
    <w:basedOn w:val="16"/>
    <w:link w:val="12"/>
    <w:qFormat/>
    <w:uiPriority w:val="10"/>
    <w:rPr>
      <w:sz w:val="24"/>
      <w:lang w:val="en-GB"/>
    </w:rPr>
  </w:style>
  <w:style w:type="character" w:customStyle="1" w:styleId="26">
    <w:name w:val="标题 1 字符"/>
    <w:basedOn w:val="16"/>
    <w:link w:val="2"/>
    <w:qFormat/>
    <w:uiPriority w:val="9"/>
    <w:rPr>
      <w:b/>
      <w:color w:val="0095D5" w:themeColor="accent1"/>
      <w:sz w:val="18"/>
      <w:lang w:val="en-GB"/>
      <w14:textFill>
        <w14:solidFill>
          <w14:schemeClr w14:val="accent1"/>
        </w14:solidFill>
      </w14:textFill>
    </w:rPr>
  </w:style>
  <w:style w:type="paragraph" w:customStyle="1" w:styleId="27">
    <w:name w:val="Marginal note"/>
    <w:basedOn w:val="1"/>
    <w:qFormat/>
    <w:uiPriority w:val="0"/>
    <w:pPr>
      <w:framePr w:w="1418" w:wrap="around" w:vAnchor="text" w:hAnchor="text" w:x="8194" w:y="41"/>
      <w:spacing w:line="195" w:lineRule="atLeast"/>
    </w:pPr>
    <w:rPr>
      <w:sz w:val="15"/>
    </w:rPr>
  </w:style>
  <w:style w:type="character" w:customStyle="1" w:styleId="28">
    <w:name w:val="标题 2 字符"/>
    <w:basedOn w:val="16"/>
    <w:link w:val="3"/>
    <w:qFormat/>
    <w:uiPriority w:val="9"/>
    <w:rPr>
      <w:b/>
      <w:sz w:val="18"/>
      <w:lang w:val="en-GB"/>
    </w:rPr>
  </w:style>
  <w:style w:type="paragraph" w:customStyle="1" w:styleId="29">
    <w:name w:val="Contact"/>
    <w:basedOn w:val="1"/>
    <w:qFormat/>
    <w:uiPriority w:val="0"/>
    <w:pPr>
      <w:tabs>
        <w:tab w:val="left" w:pos="4111"/>
      </w:tabs>
      <w:spacing w:line="210" w:lineRule="atLeast"/>
    </w:pPr>
    <w:rPr>
      <w:sz w:val="15"/>
    </w:rPr>
  </w:style>
  <w:style w:type="paragraph" w:customStyle="1" w:styleId="30">
    <w:name w:val="Embargo"/>
    <w:basedOn w:val="1"/>
    <w:qFormat/>
    <w:uiPriority w:val="0"/>
    <w:pPr>
      <w:spacing w:after="240"/>
    </w:pPr>
    <w:rPr>
      <w:b/>
      <w:color w:val="FF0A14"/>
    </w:rPr>
  </w:style>
  <w:style w:type="paragraph" w:customStyle="1" w:styleId="31">
    <w:name w:val="About"/>
    <w:basedOn w:val="1"/>
    <w:qFormat/>
    <w:uiPriority w:val="0"/>
    <w:pPr>
      <w:spacing w:line="240" w:lineRule="auto"/>
    </w:pPr>
  </w:style>
  <w:style w:type="character" w:customStyle="1" w:styleId="32">
    <w:name w:val="批注框文本 字符"/>
    <w:basedOn w:val="16"/>
    <w:link w:val="8"/>
    <w:semiHidden/>
    <w:qFormat/>
    <w:uiPriority w:val="99"/>
    <w:rPr>
      <w:rFonts w:ascii="Segoe UI" w:hAnsi="Segoe UI" w:eastAsia="宋体" w:cs="Segoe UI"/>
      <w:sz w:val="18"/>
      <w:szCs w:val="18"/>
      <w:lang w:val="en-GB"/>
    </w:rPr>
  </w:style>
  <w:style w:type="paragraph" w:customStyle="1" w:styleId="33">
    <w:name w:val="senn-regular"/>
    <w:basedOn w:val="1"/>
    <w:qFormat/>
    <w:uiPriority w:val="0"/>
    <w:pPr>
      <w:spacing w:before="100" w:beforeAutospacing="1" w:after="100" w:afterAutospacing="1" w:line="240" w:lineRule="auto"/>
    </w:pPr>
    <w:rPr>
      <w:rFonts w:ascii="Times New Roman" w:hAnsi="Times New Roman" w:eastAsia="宋体" w:cs="Times New Roman"/>
      <w:sz w:val="24"/>
      <w:szCs w:val="24"/>
      <w:lang w:val="de-DE"/>
    </w:rPr>
  </w:style>
  <w:style w:type="character" w:customStyle="1" w:styleId="34">
    <w:name w:val="price__currency-sign"/>
    <w:basedOn w:val="16"/>
    <w:qFormat/>
    <w:uiPriority w:val="0"/>
  </w:style>
  <w:style w:type="character" w:customStyle="1" w:styleId="35">
    <w:name w:val="price__amount"/>
    <w:basedOn w:val="16"/>
    <w:qFormat/>
    <w:uiPriority w:val="0"/>
  </w:style>
  <w:style w:type="paragraph" w:customStyle="1" w:styleId="36">
    <w:name w:val="product-teaser__price__details"/>
    <w:basedOn w:val="1"/>
    <w:qFormat/>
    <w:uiPriority w:val="0"/>
    <w:pPr>
      <w:spacing w:before="100" w:beforeAutospacing="1" w:after="100" w:afterAutospacing="1" w:line="240" w:lineRule="auto"/>
    </w:pPr>
    <w:rPr>
      <w:rFonts w:ascii="Times New Roman" w:hAnsi="Times New Roman" w:eastAsia="宋体" w:cs="Times New Roman"/>
      <w:sz w:val="24"/>
      <w:szCs w:val="24"/>
      <w:lang w:val="de-DE"/>
    </w:rPr>
  </w:style>
  <w:style w:type="character" w:customStyle="1" w:styleId="37">
    <w:name w:val="标题 5 字符"/>
    <w:basedOn w:val="16"/>
    <w:link w:val="5"/>
    <w:semiHidden/>
    <w:qFormat/>
    <w:uiPriority w:val="9"/>
    <w:rPr>
      <w:rFonts w:asciiTheme="majorHAnsi" w:hAnsiTheme="majorHAnsi" w:eastAsiaTheme="majorEastAsia" w:cstheme="majorBidi"/>
      <w:color w:val="0070A0" w:themeColor="accent1" w:themeShade="BF"/>
      <w:sz w:val="18"/>
      <w:lang w:val="en-GB"/>
    </w:rPr>
  </w:style>
  <w:style w:type="paragraph" w:customStyle="1" w:styleId="38">
    <w:name w:val="msonormal"/>
    <w:basedOn w:val="1"/>
    <w:qFormat/>
    <w:uiPriority w:val="0"/>
    <w:pPr>
      <w:spacing w:before="100" w:beforeAutospacing="1" w:after="100" w:afterAutospacing="1" w:line="240" w:lineRule="auto"/>
    </w:pPr>
    <w:rPr>
      <w:rFonts w:ascii="Times New Roman" w:hAnsi="Times New Roman" w:eastAsia="宋体" w:cs="Times New Roman"/>
      <w:sz w:val="24"/>
      <w:szCs w:val="24"/>
      <w:lang w:val="de-DE"/>
    </w:rPr>
  </w:style>
  <w:style w:type="paragraph" w:customStyle="1" w:styleId="39">
    <w:name w:val="xl20"/>
    <w:basedOn w:val="1"/>
    <w:qFormat/>
    <w:uiPriority w:val="0"/>
    <w:pPr>
      <w:spacing w:before="100" w:beforeAutospacing="1" w:after="100" w:afterAutospacing="1" w:line="240" w:lineRule="auto"/>
    </w:pPr>
    <w:rPr>
      <w:rFonts w:ascii="Times New Roman" w:hAnsi="Times New Roman" w:eastAsia="宋体" w:cs="Times New Roman"/>
      <w:color w:val="0563C1"/>
      <w:sz w:val="24"/>
      <w:szCs w:val="24"/>
      <w:u w:val="single"/>
      <w:lang w:val="de-DE"/>
    </w:rPr>
  </w:style>
  <w:style w:type="paragraph" w:customStyle="1" w:styleId="40">
    <w:name w:val="xl21"/>
    <w:basedOn w:val="1"/>
    <w:qFormat/>
    <w:uiPriority w:val="0"/>
    <w:pPr>
      <w:spacing w:before="100" w:beforeAutospacing="1" w:after="100" w:afterAutospacing="1" w:line="240" w:lineRule="auto"/>
    </w:pPr>
    <w:rPr>
      <w:rFonts w:ascii="Times New Roman" w:hAnsi="Times New Roman" w:eastAsia="宋体" w:cs="Times New Roman"/>
      <w:sz w:val="24"/>
      <w:szCs w:val="24"/>
      <w:lang w:val="de-DE"/>
    </w:rPr>
  </w:style>
  <w:style w:type="paragraph" w:customStyle="1" w:styleId="41">
    <w:name w:val="xl23"/>
    <w:basedOn w:val="1"/>
    <w:qFormat/>
    <w:uiPriority w:val="0"/>
    <w:pPr>
      <w:spacing w:before="100" w:beforeAutospacing="1" w:after="100" w:afterAutospacing="1" w:line="240" w:lineRule="auto"/>
    </w:pPr>
    <w:rPr>
      <w:rFonts w:ascii="Times New Roman" w:hAnsi="Times New Roman" w:eastAsia="宋体" w:cs="Times New Roman"/>
      <w:sz w:val="24"/>
      <w:szCs w:val="24"/>
      <w:lang w:val="de-DE"/>
    </w:rPr>
  </w:style>
  <w:style w:type="paragraph" w:customStyle="1" w:styleId="42">
    <w:name w:val="xl26"/>
    <w:basedOn w:val="1"/>
    <w:qFormat/>
    <w:uiPriority w:val="0"/>
    <w:pPr>
      <w:spacing w:before="100" w:beforeAutospacing="1" w:after="100" w:afterAutospacing="1" w:line="240" w:lineRule="auto"/>
      <w:textAlignment w:val="center"/>
    </w:pPr>
    <w:rPr>
      <w:rFonts w:ascii="Times New Roman" w:hAnsi="Times New Roman" w:eastAsia="宋体" w:cs="Times New Roman"/>
      <w:sz w:val="22"/>
      <w:lang w:val="de-DE"/>
    </w:rPr>
  </w:style>
  <w:style w:type="character" w:customStyle="1" w:styleId="43">
    <w:name w:val="Nicht aufgelöste Erwähnung1"/>
    <w:basedOn w:val="16"/>
    <w:unhideWhenUsed/>
    <w:qFormat/>
    <w:uiPriority w:val="99"/>
    <w:rPr>
      <w:color w:val="605E5C"/>
      <w:shd w:val="clear" w:color="auto" w:fill="E1DFDD"/>
    </w:rPr>
  </w:style>
  <w:style w:type="paragraph" w:customStyle="1" w:styleId="44">
    <w:name w:val="列表段落1"/>
    <w:basedOn w:val="1"/>
    <w:qFormat/>
    <w:uiPriority w:val="34"/>
    <w:pPr>
      <w:ind w:left="720"/>
      <w:contextualSpacing/>
    </w:pPr>
  </w:style>
  <w:style w:type="character" w:customStyle="1" w:styleId="45">
    <w:name w:val="标题 4 字符"/>
    <w:basedOn w:val="16"/>
    <w:link w:val="4"/>
    <w:semiHidden/>
    <w:qFormat/>
    <w:uiPriority w:val="9"/>
    <w:rPr>
      <w:rFonts w:asciiTheme="majorHAnsi" w:hAnsiTheme="majorHAnsi" w:eastAsiaTheme="majorEastAsia" w:cstheme="majorBidi"/>
      <w:i/>
      <w:iCs/>
      <w:color w:val="0070A0" w:themeColor="accent1" w:themeShade="BF"/>
      <w:sz w:val="18"/>
      <w:lang w:val="en-GB"/>
    </w:rPr>
  </w:style>
  <w:style w:type="paragraph" w:customStyle="1" w:styleId="46">
    <w:name w:val="paragraph"/>
    <w:basedOn w:val="1"/>
    <w:qFormat/>
    <w:uiPriority w:val="0"/>
    <w:pPr>
      <w:spacing w:before="100" w:beforeAutospacing="1" w:after="100" w:afterAutospacing="1" w:line="240" w:lineRule="auto"/>
    </w:pPr>
    <w:rPr>
      <w:rFonts w:ascii="Calibri" w:hAnsi="Calibri" w:eastAsia="宋体" w:cs="Calibri"/>
      <w:sz w:val="22"/>
      <w:lang w:val="de-DE"/>
    </w:rPr>
  </w:style>
  <w:style w:type="character" w:customStyle="1" w:styleId="47">
    <w:name w:val="normaltextrun"/>
    <w:basedOn w:val="16"/>
    <w:qFormat/>
    <w:uiPriority w:val="0"/>
  </w:style>
  <w:style w:type="character" w:customStyle="1" w:styleId="48">
    <w:name w:val="eop"/>
    <w:basedOn w:val="16"/>
    <w:qFormat/>
    <w:uiPriority w:val="0"/>
  </w:style>
  <w:style w:type="character" w:customStyle="1" w:styleId="49">
    <w:name w:val="Nicht aufgelöste Erwähnung2"/>
    <w:basedOn w:val="16"/>
    <w:unhideWhenUsed/>
    <w:qFormat/>
    <w:uiPriority w:val="99"/>
    <w:rPr>
      <w:color w:val="605E5C"/>
      <w:shd w:val="clear" w:color="auto" w:fill="E1DFDD"/>
    </w:rPr>
  </w:style>
  <w:style w:type="character" w:customStyle="1" w:styleId="50">
    <w:name w:val="scxw52813454"/>
    <w:basedOn w:val="16"/>
    <w:qFormat/>
    <w:uiPriority w:val="0"/>
  </w:style>
  <w:style w:type="character" w:customStyle="1" w:styleId="51">
    <w:name w:val="ms-h3"/>
    <w:basedOn w:val="16"/>
    <w:qFormat/>
    <w:uiPriority w:val="0"/>
  </w:style>
  <w:style w:type="character" w:customStyle="1" w:styleId="52">
    <w:name w:val="scxw130742757"/>
    <w:basedOn w:val="16"/>
    <w:qFormat/>
    <w:uiPriority w:val="0"/>
  </w:style>
  <w:style w:type="character" w:customStyle="1" w:styleId="53">
    <w:name w:val="ydpb5a3d5bfs1"/>
    <w:basedOn w:val="16"/>
    <w:qFormat/>
    <w:uiPriority w:val="0"/>
  </w:style>
  <w:style w:type="character" w:customStyle="1" w:styleId="54">
    <w:name w:val="Unresolved Mention1"/>
    <w:basedOn w:val="16"/>
    <w:unhideWhenUsed/>
    <w:qFormat/>
    <w:uiPriority w:val="99"/>
    <w:rPr>
      <w:color w:val="605E5C"/>
      <w:shd w:val="clear" w:color="auto" w:fill="E1DFDD"/>
    </w:rPr>
  </w:style>
  <w:style w:type="character" w:customStyle="1" w:styleId="55">
    <w:name w:val="scxw170946324"/>
    <w:basedOn w:val="16"/>
    <w:qFormat/>
    <w:uiPriority w:val="0"/>
  </w:style>
  <w:style w:type="character" w:customStyle="1" w:styleId="56">
    <w:name w:val="bcx9"/>
    <w:basedOn w:val="16"/>
    <w:qFormat/>
    <w:uiPriority w:val="0"/>
  </w:style>
  <w:style w:type="character" w:customStyle="1" w:styleId="57">
    <w:name w:val="批注文字 字符"/>
    <w:basedOn w:val="16"/>
    <w:link w:val="7"/>
    <w:qFormat/>
    <w:uiPriority w:val="99"/>
    <w:rPr>
      <w:sz w:val="20"/>
      <w:szCs w:val="20"/>
      <w:lang w:val="en-GB"/>
    </w:rPr>
  </w:style>
  <w:style w:type="character" w:customStyle="1" w:styleId="58">
    <w:name w:val="批注主题 字符"/>
    <w:basedOn w:val="57"/>
    <w:link w:val="13"/>
    <w:semiHidden/>
    <w:qFormat/>
    <w:uiPriority w:val="99"/>
    <w:rPr>
      <w:b/>
      <w:bCs/>
      <w:sz w:val="20"/>
      <w:szCs w:val="20"/>
      <w:lang w:val="en-GB"/>
    </w:rPr>
  </w:style>
  <w:style w:type="paragraph" w:customStyle="1" w:styleId="59">
    <w:name w:val="Revision1"/>
    <w:hidden/>
    <w:semiHidden/>
    <w:qFormat/>
    <w:uiPriority w:val="99"/>
    <w:rPr>
      <w:rFonts w:asciiTheme="minorHAnsi" w:hAnsiTheme="minorHAnsi" w:eastAsiaTheme="minorEastAsia" w:cstheme="minorBidi"/>
      <w:sz w:val="18"/>
      <w:szCs w:val="22"/>
      <w:lang w:val="en-GB" w:eastAsia="zh-CN" w:bidi="ar-SA"/>
    </w:rPr>
  </w:style>
  <w:style w:type="paragraph" w:customStyle="1" w:styleId="60">
    <w:name w:val="修订1"/>
    <w:hidden/>
    <w:unhideWhenUsed/>
    <w:qFormat/>
    <w:uiPriority w:val="99"/>
    <w:rPr>
      <w:rFonts w:asciiTheme="minorHAnsi" w:hAnsiTheme="minorHAnsi" w:eastAsiaTheme="minorEastAsia" w:cstheme="minorBidi"/>
      <w:sz w:val="18"/>
      <w:szCs w:val="22"/>
      <w:lang w:val="en-GB" w:eastAsia="zh-CN" w:bidi="ar-SA"/>
    </w:rPr>
  </w:style>
  <w:style w:type="paragraph" w:customStyle="1" w:styleId="61">
    <w:name w:val="Revision"/>
    <w:hidden/>
    <w:unhideWhenUsed/>
    <w:qFormat/>
    <w:uiPriority w:val="99"/>
    <w:rPr>
      <w:rFonts w:asciiTheme="minorHAnsi" w:hAnsiTheme="minorHAnsi" w:eastAsiaTheme="minorEastAsia" w:cstheme="minorBidi"/>
      <w:sz w:val="18"/>
      <w:szCs w:val="22"/>
      <w:lang w:val="en-GB" w:eastAsia="zh-CN" w:bidi="ar-SA"/>
    </w:rPr>
  </w:style>
  <w:style w:type="character" w:customStyle="1" w:styleId="62">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SimSun"/>
        <a:cs typeface=""/>
      </a:majorFont>
      <a:minorFont>
        <a:latin typeface="Sennheiser Office"/>
        <a:ea typeface="SimSun"/>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Sennheiser electronic GmbH &amp; Co. KG</Company>
  <Pages>3</Pages>
  <Words>1140</Words>
  <Characters>881</Characters>
  <Lines>7</Lines>
  <Paragraphs>4</Paragraphs>
  <TotalTime>148</TotalTime>
  <ScaleCrop>false</ScaleCrop>
  <LinksUpToDate>false</LinksUpToDate>
  <CharactersWithSpaces>2017</CharactersWithSpaces>
  <Application>WPS Office_6.2.0.8299_F1E327BC-269C-435d-A152-05C5408002CA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2024-01-23T18:13:00Z</dcterms:created>
  <dc:creator>Sennheiser electronic GmbH &amp; Co. KG</dc:creator>
  <cp:lastModifiedBy>八千</cp:lastModifiedBy>
  <cp:lastPrinted>2021-10-10T17:51:00Z</cp:lastPrinted>
  <dcterms:modified xsi:type="dcterms:W3CDTF">2024-01-26T10:44:58Z</dcterms:modified>
  <dc:title>Press Release</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0x01010072939686CD705540ABF6A718AE3D1A37</vt:lpwstr>
  </property>
  <property fmtid="{D5CDD505-2E9C-101B-9397-08002B2CF9AE}" pid="3" name="GrammarlyDocumentId">
    <vt:lpwstr>53c612e4f3218ea5c9cdb9b97314126632290903b40878e7f4e824e6302f9eaf</vt:lpwstr>
  </property>
  <property fmtid="{D5CDD505-2E9C-101B-9397-08002B2CF9AE}" pid="4" name="KSOProductBuildVer">
    <vt:lpwstr>2052-6.2.0.8299</vt:lpwstr>
  </property>
  <property fmtid="{D5CDD505-2E9C-101B-9397-08002B2CF9AE}" pid="5" name="ICV">
    <vt:lpwstr>3224585943584F57AA1CB36501334499_43</vt:lpwstr>
  </property>
</Properties>
</file>